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5"/>
        <w:gridCol w:w="1947"/>
        <w:gridCol w:w="2145"/>
        <w:gridCol w:w="1817"/>
        <w:gridCol w:w="1418"/>
        <w:gridCol w:w="4110"/>
        <w:gridCol w:w="2771"/>
      </w:tblGrid>
      <w:tr w:rsidR="00EF6CF5" w:rsidRPr="00EF6CF5" w:rsidTr="00EF6CF5">
        <w:trPr>
          <w:trHeight w:val="300"/>
        </w:trPr>
        <w:tc>
          <w:tcPr>
            <w:tcW w:w="14693" w:type="dxa"/>
            <w:gridSpan w:val="7"/>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roofErr w:type="gramStart"/>
            <w:r w:rsidRPr="00EF6CF5">
              <w:rPr>
                <w:rFonts w:ascii="Times New Roman" w:eastAsia="Times New Roman" w:hAnsi="Times New Roman"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EF6CF5" w:rsidRPr="00EF6CF5" w:rsidTr="00EF6CF5">
        <w:trPr>
          <w:trHeight w:val="300"/>
        </w:trPr>
        <w:tc>
          <w:tcPr>
            <w:tcW w:w="485"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4110"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2771" w:type="dxa"/>
            <w:tcBorders>
              <w:top w:val="nil"/>
              <w:left w:val="nil"/>
              <w:bottom w:val="nil"/>
              <w:right w:val="nil"/>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r>
      <w:tr w:rsidR="00EF6CF5" w:rsidRPr="00EF6CF5" w:rsidTr="00F423A4">
        <w:trPr>
          <w:trHeight w:val="300"/>
        </w:trPr>
        <w:tc>
          <w:tcPr>
            <w:tcW w:w="485"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Наименование</w:t>
            </w:r>
          </w:p>
        </w:tc>
        <w:tc>
          <w:tcPr>
            <w:tcW w:w="5380" w:type="dxa"/>
            <w:gridSpan w:val="3"/>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bookmarkStart w:id="0" w:name="_GoBack"/>
            <w:r w:rsidRPr="00EF6CF5">
              <w:rPr>
                <w:rFonts w:ascii="Times New Roman" w:eastAsia="Times New Roman" w:hAnsi="Times New Roman" w:cs="Times New Roman"/>
                <w:color w:val="000000"/>
                <w:lang w:eastAsia="ru-RU"/>
              </w:rPr>
              <w:t>МАОУ "Начальная школа - детский сад № 52"</w:t>
            </w:r>
            <w:bookmarkEnd w:id="0"/>
          </w:p>
        </w:tc>
        <w:tc>
          <w:tcPr>
            <w:tcW w:w="4110"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2771" w:type="dxa"/>
            <w:tcBorders>
              <w:top w:val="nil"/>
              <w:left w:val="nil"/>
              <w:bottom w:val="nil"/>
              <w:right w:val="nil"/>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r>
      <w:tr w:rsidR="00EF6CF5" w:rsidRPr="00EF6CF5" w:rsidTr="00EF6CF5">
        <w:trPr>
          <w:trHeight w:val="300"/>
        </w:trPr>
        <w:tc>
          <w:tcPr>
            <w:tcW w:w="485"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2145"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1817"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1418"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4110" w:type="dxa"/>
            <w:tcBorders>
              <w:top w:val="nil"/>
              <w:left w:val="nil"/>
              <w:bottom w:val="nil"/>
              <w:right w:val="nil"/>
            </w:tcBorders>
            <w:shd w:val="clear" w:color="auto" w:fill="auto"/>
            <w:noWrap/>
            <w:vAlign w:val="bottom"/>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c>
          <w:tcPr>
            <w:tcW w:w="2771" w:type="dxa"/>
            <w:tcBorders>
              <w:top w:val="nil"/>
              <w:left w:val="nil"/>
              <w:bottom w:val="nil"/>
              <w:right w:val="nil"/>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p>
        </w:tc>
      </w:tr>
      <w:tr w:rsidR="00EF6CF5" w:rsidRPr="00EF6CF5" w:rsidTr="00EF6CF5">
        <w:trPr>
          <w:trHeight w:val="300"/>
        </w:trPr>
        <w:tc>
          <w:tcPr>
            <w:tcW w:w="48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 xml:space="preserve">№ </w:t>
            </w:r>
            <w:proofErr w:type="gramStart"/>
            <w:r w:rsidRPr="00EF6CF5">
              <w:rPr>
                <w:rFonts w:ascii="Times New Roman" w:eastAsia="Times New Roman" w:hAnsi="Times New Roman" w:cs="Times New Roman"/>
                <w:b/>
                <w:bCs/>
                <w:color w:val="000000"/>
                <w:lang w:eastAsia="ru-RU"/>
              </w:rPr>
              <w:t>п</w:t>
            </w:r>
            <w:proofErr w:type="gramEnd"/>
            <w:r w:rsidRPr="00EF6CF5">
              <w:rPr>
                <w:rFonts w:ascii="Times New Roman" w:eastAsia="Times New Roman" w:hAnsi="Times New Roman" w:cs="Times New Roman"/>
                <w:b/>
                <w:bCs/>
                <w:color w:val="000000"/>
                <w:lang w:eastAsia="ru-RU"/>
              </w:rPr>
              <w:t>/п</w:t>
            </w:r>
          </w:p>
        </w:tc>
        <w:tc>
          <w:tcPr>
            <w:tcW w:w="1947" w:type="dxa"/>
            <w:tcBorders>
              <w:top w:val="single" w:sz="4" w:space="0" w:color="auto"/>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Критерии</w:t>
            </w:r>
          </w:p>
        </w:tc>
        <w:tc>
          <w:tcPr>
            <w:tcW w:w="2145" w:type="dxa"/>
            <w:tcBorders>
              <w:top w:val="single" w:sz="4" w:space="0" w:color="auto"/>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Показатели</w:t>
            </w:r>
          </w:p>
        </w:tc>
        <w:tc>
          <w:tcPr>
            <w:tcW w:w="1817" w:type="dxa"/>
            <w:tcBorders>
              <w:top w:val="single" w:sz="4" w:space="0" w:color="auto"/>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Результаты (балл)</w:t>
            </w:r>
          </w:p>
        </w:tc>
        <w:tc>
          <w:tcPr>
            <w:tcW w:w="4110" w:type="dxa"/>
            <w:tcBorders>
              <w:top w:val="single" w:sz="4" w:space="0" w:color="auto"/>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2771" w:type="dxa"/>
            <w:tcBorders>
              <w:top w:val="single" w:sz="4" w:space="0" w:color="auto"/>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Выводы и предложения по совершенствованию деятельности организаций социального обслуживания</w:t>
            </w:r>
          </w:p>
        </w:tc>
      </w:tr>
      <w:tr w:rsidR="00EF6CF5" w:rsidRPr="00EF6CF5" w:rsidTr="00EF6CF5">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Открытость и доступность информации об организации</w:t>
            </w:r>
          </w:p>
        </w:tc>
        <w:tc>
          <w:tcPr>
            <w:tcW w:w="2145"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8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99,1</w:t>
            </w:r>
          </w:p>
        </w:tc>
        <w:tc>
          <w:tcPr>
            <w:tcW w:w="4110" w:type="dxa"/>
            <w:tcBorders>
              <w:top w:val="nil"/>
              <w:left w:val="nil"/>
              <w:bottom w:val="single" w:sz="4" w:space="0" w:color="auto"/>
              <w:right w:val="single" w:sz="4" w:space="0" w:color="auto"/>
            </w:tcBorders>
            <w:shd w:val="clear" w:color="auto" w:fill="auto"/>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Отсутствует: Отчет о результатах </w:t>
            </w:r>
            <w:proofErr w:type="spellStart"/>
            <w:r w:rsidRPr="00EF6CF5">
              <w:rPr>
                <w:rFonts w:ascii="Times New Roman" w:eastAsia="Times New Roman" w:hAnsi="Times New Roman" w:cs="Times New Roman"/>
                <w:color w:val="000000"/>
                <w:lang w:eastAsia="ru-RU"/>
              </w:rPr>
              <w:t>самообследования</w:t>
            </w:r>
            <w:proofErr w:type="spellEnd"/>
            <w:r w:rsidRPr="00EF6CF5">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81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4110" w:type="dxa"/>
            <w:tcBorders>
              <w:top w:val="nil"/>
              <w:left w:val="nil"/>
              <w:bottom w:val="single" w:sz="4" w:space="0" w:color="auto"/>
              <w:right w:val="single" w:sz="4" w:space="0" w:color="auto"/>
            </w:tcBorders>
            <w:shd w:val="clear" w:color="auto" w:fill="auto"/>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1.2. Наличие на официальном сайте организации социальной сферы информации о дистанционных способах обратной </w:t>
            </w:r>
            <w:r w:rsidRPr="00EF6CF5">
              <w:rPr>
                <w:rFonts w:ascii="Times New Roman" w:eastAsia="Times New Roman" w:hAnsi="Times New Roman" w:cs="Times New Roman"/>
                <w:color w:val="000000"/>
                <w:lang w:eastAsia="ru-RU"/>
              </w:rPr>
              <w:lastRenderedPageBreak/>
              <w:t>связи и взаимодействия с получателями услуг и их функционирование</w:t>
            </w:r>
          </w:p>
        </w:tc>
        <w:tc>
          <w:tcPr>
            <w:tcW w:w="1817"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96,8</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2</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Комфортность условий предоставления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2.1. Обеспечение в организации социальной сферы комфортных условий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2.2. Время ожидания предоставления услуги (в ОО рассчитывается как среднее арифметическое между показателями 2.1 и </w:t>
            </w:r>
            <w:r w:rsidRPr="00EF6CF5">
              <w:rPr>
                <w:rFonts w:ascii="Times New Roman" w:eastAsia="Times New Roman" w:hAnsi="Times New Roman" w:cs="Times New Roman"/>
                <w:color w:val="000000"/>
                <w:lang w:eastAsia="ru-RU"/>
              </w:rPr>
              <w:lastRenderedPageBreak/>
              <w:t>2.3)</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97,2</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2.3. Доля получателей услуг, удовлетворенных комфортностью предоставления услуг организацией</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94,4</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3</w:t>
            </w:r>
          </w:p>
        </w:tc>
        <w:tc>
          <w:tcPr>
            <w:tcW w:w="19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Доступность услуг для инвалидов</w:t>
            </w: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20,0</w:t>
            </w:r>
          </w:p>
        </w:tc>
        <w:tc>
          <w:tcPr>
            <w:tcW w:w="4110" w:type="dxa"/>
            <w:vMerge w:val="restart"/>
            <w:tcBorders>
              <w:top w:val="nil"/>
              <w:left w:val="single" w:sz="4" w:space="0" w:color="auto"/>
              <w:bottom w:val="single" w:sz="4" w:space="0" w:color="auto"/>
              <w:right w:val="single" w:sz="4" w:space="0" w:color="auto"/>
            </w:tcBorders>
            <w:shd w:val="clear" w:color="auto" w:fill="auto"/>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Отсутствует:  Оборудование входных групп пандусами; 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EF6CF5">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EF6CF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EF6CF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EF6CF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EF6CF5">
              <w:rPr>
                <w:rFonts w:ascii="Times New Roman" w:eastAsia="Times New Roman" w:hAnsi="Times New Roman" w:cs="Times New Roman"/>
                <w:color w:val="000000"/>
                <w:lang w:eastAsia="ru-RU"/>
              </w:rPr>
              <w:t>возможность предоставления инвалидам по слуху (слуху и зрению) услуг сурдопереводчика (тифлосурдопереводчика)</w:t>
            </w:r>
            <w:proofErr w:type="gramStart"/>
            <w:r w:rsidRPr="00EF6CF5">
              <w:rPr>
                <w:rFonts w:ascii="Times New Roman" w:eastAsia="Times New Roman" w:hAnsi="Times New Roman" w:cs="Times New Roman"/>
                <w:color w:val="000000"/>
                <w:lang w:eastAsia="ru-RU"/>
              </w:rPr>
              <w:t>;п</w:t>
            </w:r>
            <w:proofErr w:type="gramEnd"/>
            <w:r w:rsidRPr="00EF6CF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277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EF6CF5">
              <w:rPr>
                <w:rFonts w:ascii="Times New Roman" w:eastAsia="Times New Roman" w:hAnsi="Times New Roman" w:cs="Times New Roman"/>
                <w:color w:val="000000"/>
                <w:lang w:eastAsia="ru-RU"/>
              </w:rPr>
              <w:t>оборудованности</w:t>
            </w:r>
            <w:proofErr w:type="spellEnd"/>
            <w:r w:rsidRPr="00EF6CF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40,0</w:t>
            </w:r>
          </w:p>
        </w:tc>
        <w:tc>
          <w:tcPr>
            <w:tcW w:w="4110"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3.3. Доля получателей услуг, удовлетворенных доступностью для инвалидов</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4</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Доброжелательность, вежливость работников организации социальной сферы</w:t>
            </w: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4.1. Доля получателей услуг, удовлетворенных доброжелательностью, вежливостью работников организации </w:t>
            </w:r>
            <w:r w:rsidRPr="00EF6CF5">
              <w:rPr>
                <w:rFonts w:ascii="Times New Roman" w:eastAsia="Times New Roman" w:hAnsi="Times New Roman" w:cs="Times New Roman"/>
                <w:color w:val="000000"/>
                <w:lang w:eastAsia="ru-RU"/>
              </w:rPr>
              <w:lastRenderedPageBreak/>
              <w:t>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98,6</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Для повышения показателей доброжелательности, вежливости работников организации необходимо предпринять меры по устранению выявленных </w:t>
            </w:r>
            <w:r w:rsidRPr="00EF6CF5">
              <w:rPr>
                <w:rFonts w:ascii="Times New Roman" w:eastAsia="Times New Roman" w:hAnsi="Times New Roman" w:cs="Times New Roman"/>
                <w:color w:val="000000"/>
                <w:lang w:eastAsia="ru-RU"/>
              </w:rPr>
              <w:lastRenderedPageBreak/>
              <w:t>недостатков, организовывать и улучшать работу по повышению доброжелательности и вежливости работников ОО</w:t>
            </w: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97,2</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100,0</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5</w:t>
            </w:r>
          </w:p>
        </w:tc>
        <w:tc>
          <w:tcPr>
            <w:tcW w:w="1947"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Удовлетворенность условиями оказания услуг</w:t>
            </w: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5.1. Доля получателей услуг, которые готовы рекомендовать </w:t>
            </w:r>
            <w:r w:rsidRPr="00EF6CF5">
              <w:rPr>
                <w:rFonts w:ascii="Times New Roman" w:eastAsia="Times New Roman" w:hAnsi="Times New Roman" w:cs="Times New Roman"/>
                <w:color w:val="000000"/>
                <w:lang w:eastAsia="ru-RU"/>
              </w:rPr>
              <w:lastRenderedPageBreak/>
              <w:t>организацию социальной сферы родственникам и знакомым</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90,3</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val="restart"/>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xml:space="preserve">Для повышения показателей удовлетворенности условиями оказания услуг </w:t>
            </w:r>
            <w:r w:rsidRPr="00EF6CF5">
              <w:rPr>
                <w:rFonts w:ascii="Times New Roman" w:eastAsia="Times New Roman" w:hAnsi="Times New Roman" w:cs="Times New Roman"/>
                <w:color w:val="000000"/>
                <w:lang w:eastAsia="ru-RU"/>
              </w:rPr>
              <w:lastRenderedPageBreak/>
              <w:t xml:space="preserve">необходимо предпринять меры по устранению выявленных недостатков, проводить постоянный мониторинг, анализ и </w:t>
            </w:r>
            <w:proofErr w:type="gramStart"/>
            <w:r w:rsidRPr="00EF6CF5">
              <w:rPr>
                <w:rFonts w:ascii="Times New Roman" w:eastAsia="Times New Roman" w:hAnsi="Times New Roman" w:cs="Times New Roman"/>
                <w:color w:val="000000"/>
                <w:lang w:eastAsia="ru-RU"/>
              </w:rPr>
              <w:t>контроль за</w:t>
            </w:r>
            <w:proofErr w:type="gramEnd"/>
            <w:r w:rsidRPr="00EF6CF5">
              <w:rPr>
                <w:rFonts w:ascii="Times New Roman" w:eastAsia="Times New Roman" w:hAnsi="Times New Roman" w:cs="Times New Roman"/>
                <w:color w:val="000000"/>
                <w:lang w:eastAsia="ru-RU"/>
              </w:rPr>
              <w:t xml:space="preserve"> качеством предоставляемых услуг</w:t>
            </w: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5.2. Доля получателей услуг, удовлетворённых организационными условиями предоставления услуг</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98,6</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1947"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5.3. Доля получателей Услуг, удовлетворенных в целом условиями оказания услуг в организации социальной сферы</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95,8</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w:t>
            </w:r>
          </w:p>
        </w:tc>
        <w:tc>
          <w:tcPr>
            <w:tcW w:w="2771" w:type="dxa"/>
            <w:vMerge/>
            <w:tcBorders>
              <w:top w:val="nil"/>
              <w:left w:val="single" w:sz="4" w:space="0" w:color="auto"/>
              <w:bottom w:val="single" w:sz="4" w:space="0" w:color="auto"/>
              <w:right w:val="single" w:sz="4" w:space="0" w:color="auto"/>
            </w:tcBorders>
            <w:vAlign w:val="center"/>
            <w:hideMark/>
          </w:tcPr>
          <w:p w:rsidR="00EF6CF5" w:rsidRPr="00EF6CF5" w:rsidRDefault="00EF6CF5" w:rsidP="00EF6CF5">
            <w:pPr>
              <w:spacing w:after="0" w:line="240" w:lineRule="auto"/>
              <w:rPr>
                <w:rFonts w:ascii="Times New Roman" w:eastAsia="Times New Roman" w:hAnsi="Times New Roman" w:cs="Times New Roman"/>
                <w:color w:val="000000"/>
                <w:lang w:eastAsia="ru-RU"/>
              </w:rPr>
            </w:pPr>
          </w:p>
        </w:tc>
      </w:tr>
      <w:tr w:rsidR="00EF6CF5" w:rsidRPr="00EF6CF5" w:rsidTr="00EF6CF5">
        <w:trPr>
          <w:trHeight w:val="300"/>
        </w:trPr>
        <w:tc>
          <w:tcPr>
            <w:tcW w:w="485" w:type="dxa"/>
            <w:tcBorders>
              <w:top w:val="nil"/>
              <w:left w:val="single" w:sz="4" w:space="0" w:color="auto"/>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 </w:t>
            </w:r>
          </w:p>
        </w:tc>
        <w:tc>
          <w:tcPr>
            <w:tcW w:w="194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Итого</w:t>
            </w:r>
          </w:p>
        </w:tc>
        <w:tc>
          <w:tcPr>
            <w:tcW w:w="2145"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 </w:t>
            </w:r>
          </w:p>
        </w:tc>
        <w:tc>
          <w:tcPr>
            <w:tcW w:w="1817"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88,1</w:t>
            </w:r>
          </w:p>
        </w:tc>
        <w:tc>
          <w:tcPr>
            <w:tcW w:w="4110" w:type="dxa"/>
            <w:tcBorders>
              <w:top w:val="nil"/>
              <w:left w:val="nil"/>
              <w:bottom w:val="single" w:sz="4" w:space="0" w:color="auto"/>
              <w:right w:val="single" w:sz="4" w:space="0" w:color="auto"/>
            </w:tcBorders>
            <w:shd w:val="clear" w:color="auto" w:fill="auto"/>
            <w:noWrap/>
            <w:vAlign w:val="center"/>
            <w:hideMark/>
          </w:tcPr>
          <w:p w:rsidR="00EF6CF5" w:rsidRPr="00EF6CF5" w:rsidRDefault="00EF6CF5" w:rsidP="00EF6CF5">
            <w:pPr>
              <w:spacing w:after="0" w:line="240" w:lineRule="auto"/>
              <w:jc w:val="center"/>
              <w:rPr>
                <w:rFonts w:ascii="Times New Roman" w:eastAsia="Times New Roman" w:hAnsi="Times New Roman" w:cs="Times New Roman"/>
                <w:color w:val="000000"/>
                <w:lang w:eastAsia="ru-RU"/>
              </w:rPr>
            </w:pPr>
            <w:r w:rsidRPr="00EF6CF5">
              <w:rPr>
                <w:rFonts w:ascii="Times New Roman" w:eastAsia="Times New Roman" w:hAnsi="Times New Roman" w:cs="Times New Roman"/>
                <w:color w:val="000000"/>
                <w:lang w:eastAsia="ru-RU"/>
              </w:rPr>
              <w:t> </w:t>
            </w:r>
          </w:p>
        </w:tc>
        <w:tc>
          <w:tcPr>
            <w:tcW w:w="2771" w:type="dxa"/>
            <w:tcBorders>
              <w:top w:val="nil"/>
              <w:left w:val="nil"/>
              <w:bottom w:val="single" w:sz="4" w:space="0" w:color="auto"/>
              <w:right w:val="single" w:sz="4" w:space="0" w:color="auto"/>
            </w:tcBorders>
            <w:shd w:val="clear" w:color="000000" w:fill="FFFFFF"/>
            <w:vAlign w:val="center"/>
            <w:hideMark/>
          </w:tcPr>
          <w:p w:rsidR="00EF6CF5" w:rsidRPr="00EF6CF5" w:rsidRDefault="00EF6CF5" w:rsidP="00EF6CF5">
            <w:pPr>
              <w:spacing w:after="0" w:line="240" w:lineRule="auto"/>
              <w:jc w:val="center"/>
              <w:rPr>
                <w:rFonts w:ascii="Times New Roman" w:eastAsia="Times New Roman" w:hAnsi="Times New Roman" w:cs="Times New Roman"/>
                <w:b/>
                <w:bCs/>
                <w:color w:val="000000"/>
                <w:lang w:eastAsia="ru-RU"/>
              </w:rPr>
            </w:pPr>
            <w:r w:rsidRPr="00EF6CF5">
              <w:rPr>
                <w:rFonts w:ascii="Times New Roman" w:eastAsia="Times New Roman" w:hAnsi="Times New Roman" w:cs="Times New Roman"/>
                <w:b/>
                <w:bCs/>
                <w:color w:val="000000"/>
                <w:lang w:eastAsia="ru-RU"/>
              </w:rPr>
              <w:t> </w:t>
            </w:r>
          </w:p>
        </w:tc>
      </w:tr>
    </w:tbl>
    <w:p w:rsidR="00583251" w:rsidRPr="00EF6CF5" w:rsidRDefault="00583251" w:rsidP="00EF6CF5"/>
    <w:sectPr w:rsidR="00583251" w:rsidRPr="00EF6CF5" w:rsidSect="00CD3376">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BE0"/>
    <w:rsid w:val="00023435"/>
    <w:rsid w:val="001E40BD"/>
    <w:rsid w:val="002008BA"/>
    <w:rsid w:val="002109BF"/>
    <w:rsid w:val="00263E44"/>
    <w:rsid w:val="002A0CA0"/>
    <w:rsid w:val="002E0AB1"/>
    <w:rsid w:val="003753F4"/>
    <w:rsid w:val="00395ABB"/>
    <w:rsid w:val="00411B93"/>
    <w:rsid w:val="00475678"/>
    <w:rsid w:val="00510E87"/>
    <w:rsid w:val="0052540D"/>
    <w:rsid w:val="00583251"/>
    <w:rsid w:val="0069447F"/>
    <w:rsid w:val="006C317C"/>
    <w:rsid w:val="007449BB"/>
    <w:rsid w:val="00756747"/>
    <w:rsid w:val="007C3638"/>
    <w:rsid w:val="007F2BE0"/>
    <w:rsid w:val="008C0B47"/>
    <w:rsid w:val="009B5151"/>
    <w:rsid w:val="00A15C6D"/>
    <w:rsid w:val="00A4361E"/>
    <w:rsid w:val="00A71CD6"/>
    <w:rsid w:val="00A912ED"/>
    <w:rsid w:val="00B0209B"/>
    <w:rsid w:val="00B27CEF"/>
    <w:rsid w:val="00BD6B3C"/>
    <w:rsid w:val="00BE511D"/>
    <w:rsid w:val="00C229B5"/>
    <w:rsid w:val="00C43B56"/>
    <w:rsid w:val="00C739BA"/>
    <w:rsid w:val="00CD3376"/>
    <w:rsid w:val="00E43D54"/>
    <w:rsid w:val="00E72E2A"/>
    <w:rsid w:val="00EA1EF1"/>
    <w:rsid w:val="00EB178D"/>
    <w:rsid w:val="00EF6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79044">
      <w:bodyDiv w:val="1"/>
      <w:marLeft w:val="0"/>
      <w:marRight w:val="0"/>
      <w:marTop w:val="0"/>
      <w:marBottom w:val="0"/>
      <w:divBdr>
        <w:top w:val="none" w:sz="0" w:space="0" w:color="auto"/>
        <w:left w:val="none" w:sz="0" w:space="0" w:color="auto"/>
        <w:bottom w:val="none" w:sz="0" w:space="0" w:color="auto"/>
        <w:right w:val="none" w:sz="0" w:space="0" w:color="auto"/>
      </w:divBdr>
    </w:div>
    <w:div w:id="56054061">
      <w:bodyDiv w:val="1"/>
      <w:marLeft w:val="0"/>
      <w:marRight w:val="0"/>
      <w:marTop w:val="0"/>
      <w:marBottom w:val="0"/>
      <w:divBdr>
        <w:top w:val="none" w:sz="0" w:space="0" w:color="auto"/>
        <w:left w:val="none" w:sz="0" w:space="0" w:color="auto"/>
        <w:bottom w:val="none" w:sz="0" w:space="0" w:color="auto"/>
        <w:right w:val="none" w:sz="0" w:space="0" w:color="auto"/>
      </w:divBdr>
    </w:div>
    <w:div w:id="200016071">
      <w:bodyDiv w:val="1"/>
      <w:marLeft w:val="0"/>
      <w:marRight w:val="0"/>
      <w:marTop w:val="0"/>
      <w:marBottom w:val="0"/>
      <w:divBdr>
        <w:top w:val="none" w:sz="0" w:space="0" w:color="auto"/>
        <w:left w:val="none" w:sz="0" w:space="0" w:color="auto"/>
        <w:bottom w:val="none" w:sz="0" w:space="0" w:color="auto"/>
        <w:right w:val="none" w:sz="0" w:space="0" w:color="auto"/>
      </w:divBdr>
    </w:div>
    <w:div w:id="235550388">
      <w:bodyDiv w:val="1"/>
      <w:marLeft w:val="0"/>
      <w:marRight w:val="0"/>
      <w:marTop w:val="0"/>
      <w:marBottom w:val="0"/>
      <w:divBdr>
        <w:top w:val="none" w:sz="0" w:space="0" w:color="auto"/>
        <w:left w:val="none" w:sz="0" w:space="0" w:color="auto"/>
        <w:bottom w:val="none" w:sz="0" w:space="0" w:color="auto"/>
        <w:right w:val="none" w:sz="0" w:space="0" w:color="auto"/>
      </w:divBdr>
    </w:div>
    <w:div w:id="249779821">
      <w:bodyDiv w:val="1"/>
      <w:marLeft w:val="0"/>
      <w:marRight w:val="0"/>
      <w:marTop w:val="0"/>
      <w:marBottom w:val="0"/>
      <w:divBdr>
        <w:top w:val="none" w:sz="0" w:space="0" w:color="auto"/>
        <w:left w:val="none" w:sz="0" w:space="0" w:color="auto"/>
        <w:bottom w:val="none" w:sz="0" w:space="0" w:color="auto"/>
        <w:right w:val="none" w:sz="0" w:space="0" w:color="auto"/>
      </w:divBdr>
    </w:div>
    <w:div w:id="267398328">
      <w:bodyDiv w:val="1"/>
      <w:marLeft w:val="0"/>
      <w:marRight w:val="0"/>
      <w:marTop w:val="0"/>
      <w:marBottom w:val="0"/>
      <w:divBdr>
        <w:top w:val="none" w:sz="0" w:space="0" w:color="auto"/>
        <w:left w:val="none" w:sz="0" w:space="0" w:color="auto"/>
        <w:bottom w:val="none" w:sz="0" w:space="0" w:color="auto"/>
        <w:right w:val="none" w:sz="0" w:space="0" w:color="auto"/>
      </w:divBdr>
    </w:div>
    <w:div w:id="344865262">
      <w:bodyDiv w:val="1"/>
      <w:marLeft w:val="0"/>
      <w:marRight w:val="0"/>
      <w:marTop w:val="0"/>
      <w:marBottom w:val="0"/>
      <w:divBdr>
        <w:top w:val="none" w:sz="0" w:space="0" w:color="auto"/>
        <w:left w:val="none" w:sz="0" w:space="0" w:color="auto"/>
        <w:bottom w:val="none" w:sz="0" w:space="0" w:color="auto"/>
        <w:right w:val="none" w:sz="0" w:space="0" w:color="auto"/>
      </w:divBdr>
    </w:div>
    <w:div w:id="480393581">
      <w:bodyDiv w:val="1"/>
      <w:marLeft w:val="0"/>
      <w:marRight w:val="0"/>
      <w:marTop w:val="0"/>
      <w:marBottom w:val="0"/>
      <w:divBdr>
        <w:top w:val="none" w:sz="0" w:space="0" w:color="auto"/>
        <w:left w:val="none" w:sz="0" w:space="0" w:color="auto"/>
        <w:bottom w:val="none" w:sz="0" w:space="0" w:color="auto"/>
        <w:right w:val="none" w:sz="0" w:space="0" w:color="auto"/>
      </w:divBdr>
    </w:div>
    <w:div w:id="509175249">
      <w:bodyDiv w:val="1"/>
      <w:marLeft w:val="0"/>
      <w:marRight w:val="0"/>
      <w:marTop w:val="0"/>
      <w:marBottom w:val="0"/>
      <w:divBdr>
        <w:top w:val="none" w:sz="0" w:space="0" w:color="auto"/>
        <w:left w:val="none" w:sz="0" w:space="0" w:color="auto"/>
        <w:bottom w:val="none" w:sz="0" w:space="0" w:color="auto"/>
        <w:right w:val="none" w:sz="0" w:space="0" w:color="auto"/>
      </w:divBdr>
    </w:div>
    <w:div w:id="830172418">
      <w:bodyDiv w:val="1"/>
      <w:marLeft w:val="0"/>
      <w:marRight w:val="0"/>
      <w:marTop w:val="0"/>
      <w:marBottom w:val="0"/>
      <w:divBdr>
        <w:top w:val="none" w:sz="0" w:space="0" w:color="auto"/>
        <w:left w:val="none" w:sz="0" w:space="0" w:color="auto"/>
        <w:bottom w:val="none" w:sz="0" w:space="0" w:color="auto"/>
        <w:right w:val="none" w:sz="0" w:space="0" w:color="auto"/>
      </w:divBdr>
    </w:div>
    <w:div w:id="844629049">
      <w:bodyDiv w:val="1"/>
      <w:marLeft w:val="0"/>
      <w:marRight w:val="0"/>
      <w:marTop w:val="0"/>
      <w:marBottom w:val="0"/>
      <w:divBdr>
        <w:top w:val="none" w:sz="0" w:space="0" w:color="auto"/>
        <w:left w:val="none" w:sz="0" w:space="0" w:color="auto"/>
        <w:bottom w:val="none" w:sz="0" w:space="0" w:color="auto"/>
        <w:right w:val="none" w:sz="0" w:space="0" w:color="auto"/>
      </w:divBdr>
    </w:div>
    <w:div w:id="865631370">
      <w:bodyDiv w:val="1"/>
      <w:marLeft w:val="0"/>
      <w:marRight w:val="0"/>
      <w:marTop w:val="0"/>
      <w:marBottom w:val="0"/>
      <w:divBdr>
        <w:top w:val="none" w:sz="0" w:space="0" w:color="auto"/>
        <w:left w:val="none" w:sz="0" w:space="0" w:color="auto"/>
        <w:bottom w:val="none" w:sz="0" w:space="0" w:color="auto"/>
        <w:right w:val="none" w:sz="0" w:space="0" w:color="auto"/>
      </w:divBdr>
    </w:div>
    <w:div w:id="866411615">
      <w:bodyDiv w:val="1"/>
      <w:marLeft w:val="0"/>
      <w:marRight w:val="0"/>
      <w:marTop w:val="0"/>
      <w:marBottom w:val="0"/>
      <w:divBdr>
        <w:top w:val="none" w:sz="0" w:space="0" w:color="auto"/>
        <w:left w:val="none" w:sz="0" w:space="0" w:color="auto"/>
        <w:bottom w:val="none" w:sz="0" w:space="0" w:color="auto"/>
        <w:right w:val="none" w:sz="0" w:space="0" w:color="auto"/>
      </w:divBdr>
    </w:div>
    <w:div w:id="881943753">
      <w:bodyDiv w:val="1"/>
      <w:marLeft w:val="0"/>
      <w:marRight w:val="0"/>
      <w:marTop w:val="0"/>
      <w:marBottom w:val="0"/>
      <w:divBdr>
        <w:top w:val="none" w:sz="0" w:space="0" w:color="auto"/>
        <w:left w:val="none" w:sz="0" w:space="0" w:color="auto"/>
        <w:bottom w:val="none" w:sz="0" w:space="0" w:color="auto"/>
        <w:right w:val="none" w:sz="0" w:space="0" w:color="auto"/>
      </w:divBdr>
    </w:div>
    <w:div w:id="1143812739">
      <w:bodyDiv w:val="1"/>
      <w:marLeft w:val="0"/>
      <w:marRight w:val="0"/>
      <w:marTop w:val="0"/>
      <w:marBottom w:val="0"/>
      <w:divBdr>
        <w:top w:val="none" w:sz="0" w:space="0" w:color="auto"/>
        <w:left w:val="none" w:sz="0" w:space="0" w:color="auto"/>
        <w:bottom w:val="none" w:sz="0" w:space="0" w:color="auto"/>
        <w:right w:val="none" w:sz="0" w:space="0" w:color="auto"/>
      </w:divBdr>
    </w:div>
    <w:div w:id="1172721134">
      <w:bodyDiv w:val="1"/>
      <w:marLeft w:val="0"/>
      <w:marRight w:val="0"/>
      <w:marTop w:val="0"/>
      <w:marBottom w:val="0"/>
      <w:divBdr>
        <w:top w:val="none" w:sz="0" w:space="0" w:color="auto"/>
        <w:left w:val="none" w:sz="0" w:space="0" w:color="auto"/>
        <w:bottom w:val="none" w:sz="0" w:space="0" w:color="auto"/>
        <w:right w:val="none" w:sz="0" w:space="0" w:color="auto"/>
      </w:divBdr>
    </w:div>
    <w:div w:id="1172916353">
      <w:bodyDiv w:val="1"/>
      <w:marLeft w:val="0"/>
      <w:marRight w:val="0"/>
      <w:marTop w:val="0"/>
      <w:marBottom w:val="0"/>
      <w:divBdr>
        <w:top w:val="none" w:sz="0" w:space="0" w:color="auto"/>
        <w:left w:val="none" w:sz="0" w:space="0" w:color="auto"/>
        <w:bottom w:val="none" w:sz="0" w:space="0" w:color="auto"/>
        <w:right w:val="none" w:sz="0" w:space="0" w:color="auto"/>
      </w:divBdr>
    </w:div>
    <w:div w:id="1181702499">
      <w:bodyDiv w:val="1"/>
      <w:marLeft w:val="0"/>
      <w:marRight w:val="0"/>
      <w:marTop w:val="0"/>
      <w:marBottom w:val="0"/>
      <w:divBdr>
        <w:top w:val="none" w:sz="0" w:space="0" w:color="auto"/>
        <w:left w:val="none" w:sz="0" w:space="0" w:color="auto"/>
        <w:bottom w:val="none" w:sz="0" w:space="0" w:color="auto"/>
        <w:right w:val="none" w:sz="0" w:space="0" w:color="auto"/>
      </w:divBdr>
    </w:div>
    <w:div w:id="1279484503">
      <w:bodyDiv w:val="1"/>
      <w:marLeft w:val="0"/>
      <w:marRight w:val="0"/>
      <w:marTop w:val="0"/>
      <w:marBottom w:val="0"/>
      <w:divBdr>
        <w:top w:val="none" w:sz="0" w:space="0" w:color="auto"/>
        <w:left w:val="none" w:sz="0" w:space="0" w:color="auto"/>
        <w:bottom w:val="none" w:sz="0" w:space="0" w:color="auto"/>
        <w:right w:val="none" w:sz="0" w:space="0" w:color="auto"/>
      </w:divBdr>
    </w:div>
    <w:div w:id="1325400438">
      <w:bodyDiv w:val="1"/>
      <w:marLeft w:val="0"/>
      <w:marRight w:val="0"/>
      <w:marTop w:val="0"/>
      <w:marBottom w:val="0"/>
      <w:divBdr>
        <w:top w:val="none" w:sz="0" w:space="0" w:color="auto"/>
        <w:left w:val="none" w:sz="0" w:space="0" w:color="auto"/>
        <w:bottom w:val="none" w:sz="0" w:space="0" w:color="auto"/>
        <w:right w:val="none" w:sz="0" w:space="0" w:color="auto"/>
      </w:divBdr>
    </w:div>
    <w:div w:id="1373075339">
      <w:bodyDiv w:val="1"/>
      <w:marLeft w:val="0"/>
      <w:marRight w:val="0"/>
      <w:marTop w:val="0"/>
      <w:marBottom w:val="0"/>
      <w:divBdr>
        <w:top w:val="none" w:sz="0" w:space="0" w:color="auto"/>
        <w:left w:val="none" w:sz="0" w:space="0" w:color="auto"/>
        <w:bottom w:val="none" w:sz="0" w:space="0" w:color="auto"/>
        <w:right w:val="none" w:sz="0" w:space="0" w:color="auto"/>
      </w:divBdr>
    </w:div>
    <w:div w:id="1416168988">
      <w:bodyDiv w:val="1"/>
      <w:marLeft w:val="0"/>
      <w:marRight w:val="0"/>
      <w:marTop w:val="0"/>
      <w:marBottom w:val="0"/>
      <w:divBdr>
        <w:top w:val="none" w:sz="0" w:space="0" w:color="auto"/>
        <w:left w:val="none" w:sz="0" w:space="0" w:color="auto"/>
        <w:bottom w:val="none" w:sz="0" w:space="0" w:color="auto"/>
        <w:right w:val="none" w:sz="0" w:space="0" w:color="auto"/>
      </w:divBdr>
    </w:div>
    <w:div w:id="1726445411">
      <w:bodyDiv w:val="1"/>
      <w:marLeft w:val="0"/>
      <w:marRight w:val="0"/>
      <w:marTop w:val="0"/>
      <w:marBottom w:val="0"/>
      <w:divBdr>
        <w:top w:val="none" w:sz="0" w:space="0" w:color="auto"/>
        <w:left w:val="none" w:sz="0" w:space="0" w:color="auto"/>
        <w:bottom w:val="none" w:sz="0" w:space="0" w:color="auto"/>
        <w:right w:val="none" w:sz="0" w:space="0" w:color="auto"/>
      </w:divBdr>
    </w:div>
    <w:div w:id="1768650834">
      <w:bodyDiv w:val="1"/>
      <w:marLeft w:val="0"/>
      <w:marRight w:val="0"/>
      <w:marTop w:val="0"/>
      <w:marBottom w:val="0"/>
      <w:divBdr>
        <w:top w:val="none" w:sz="0" w:space="0" w:color="auto"/>
        <w:left w:val="none" w:sz="0" w:space="0" w:color="auto"/>
        <w:bottom w:val="none" w:sz="0" w:space="0" w:color="auto"/>
        <w:right w:val="none" w:sz="0" w:space="0" w:color="auto"/>
      </w:divBdr>
    </w:div>
    <w:div w:id="1827741608">
      <w:bodyDiv w:val="1"/>
      <w:marLeft w:val="0"/>
      <w:marRight w:val="0"/>
      <w:marTop w:val="0"/>
      <w:marBottom w:val="0"/>
      <w:divBdr>
        <w:top w:val="none" w:sz="0" w:space="0" w:color="auto"/>
        <w:left w:val="none" w:sz="0" w:space="0" w:color="auto"/>
        <w:bottom w:val="none" w:sz="0" w:space="0" w:color="auto"/>
        <w:right w:val="none" w:sz="0" w:space="0" w:color="auto"/>
      </w:divBdr>
    </w:div>
    <w:div w:id="1962029251">
      <w:bodyDiv w:val="1"/>
      <w:marLeft w:val="0"/>
      <w:marRight w:val="0"/>
      <w:marTop w:val="0"/>
      <w:marBottom w:val="0"/>
      <w:divBdr>
        <w:top w:val="none" w:sz="0" w:space="0" w:color="auto"/>
        <w:left w:val="none" w:sz="0" w:space="0" w:color="auto"/>
        <w:bottom w:val="none" w:sz="0" w:space="0" w:color="auto"/>
        <w:right w:val="none" w:sz="0" w:space="0" w:color="auto"/>
      </w:divBdr>
    </w:div>
    <w:div w:id="1984650244">
      <w:bodyDiv w:val="1"/>
      <w:marLeft w:val="0"/>
      <w:marRight w:val="0"/>
      <w:marTop w:val="0"/>
      <w:marBottom w:val="0"/>
      <w:divBdr>
        <w:top w:val="none" w:sz="0" w:space="0" w:color="auto"/>
        <w:left w:val="none" w:sz="0" w:space="0" w:color="auto"/>
        <w:bottom w:val="none" w:sz="0" w:space="0" w:color="auto"/>
        <w:right w:val="none" w:sz="0" w:space="0" w:color="auto"/>
      </w:divBdr>
    </w:div>
    <w:div w:id="2027365471">
      <w:bodyDiv w:val="1"/>
      <w:marLeft w:val="0"/>
      <w:marRight w:val="0"/>
      <w:marTop w:val="0"/>
      <w:marBottom w:val="0"/>
      <w:divBdr>
        <w:top w:val="none" w:sz="0" w:space="0" w:color="auto"/>
        <w:left w:val="none" w:sz="0" w:space="0" w:color="auto"/>
        <w:bottom w:val="none" w:sz="0" w:space="0" w:color="auto"/>
        <w:right w:val="none" w:sz="0" w:space="0" w:color="auto"/>
      </w:divBdr>
    </w:div>
    <w:div w:id="2051955795">
      <w:bodyDiv w:val="1"/>
      <w:marLeft w:val="0"/>
      <w:marRight w:val="0"/>
      <w:marTop w:val="0"/>
      <w:marBottom w:val="0"/>
      <w:divBdr>
        <w:top w:val="none" w:sz="0" w:space="0" w:color="auto"/>
        <w:left w:val="none" w:sz="0" w:space="0" w:color="auto"/>
        <w:bottom w:val="none" w:sz="0" w:space="0" w:color="auto"/>
        <w:right w:val="none" w:sz="0" w:space="0" w:color="auto"/>
      </w:divBdr>
    </w:div>
    <w:div w:id="2072843841">
      <w:bodyDiv w:val="1"/>
      <w:marLeft w:val="0"/>
      <w:marRight w:val="0"/>
      <w:marTop w:val="0"/>
      <w:marBottom w:val="0"/>
      <w:divBdr>
        <w:top w:val="none" w:sz="0" w:space="0" w:color="auto"/>
        <w:left w:val="none" w:sz="0" w:space="0" w:color="auto"/>
        <w:bottom w:val="none" w:sz="0" w:space="0" w:color="auto"/>
        <w:right w:val="none" w:sz="0" w:space="0" w:color="auto"/>
      </w:divBdr>
    </w:div>
    <w:div w:id="208175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816</Words>
  <Characters>4654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2022-11-23T05:39:00Z</dcterms:created>
  <dcterms:modified xsi:type="dcterms:W3CDTF">2022-11-23T05:39:00Z</dcterms:modified>
</cp:coreProperties>
</file>